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29066" w14:textId="77777777" w:rsidR="0066081A" w:rsidRDefault="00000000">
      <w:pPr>
        <w:pStyle w:val="Heading1"/>
        <w:spacing w:before="3000"/>
      </w:pPr>
      <w:bookmarkStart w:id="0" w:name="_Toc374271003"/>
      <w:r>
        <w:t>REQUEST FOR QUOTATION</w:t>
      </w:r>
      <w:r>
        <w:br/>
        <w:t>EVALUATION CRITERIA AND METHOD</w:t>
      </w:r>
      <w:bookmarkEnd w:id="0"/>
      <w:r>
        <w:br/>
        <w:t>STANDARD GOODS</w:t>
      </w:r>
    </w:p>
    <w:p w14:paraId="400A7225" w14:textId="77777777" w:rsidR="0066081A" w:rsidRDefault="0066081A">
      <w:pPr>
        <w:pStyle w:val="Heading2"/>
        <w:tabs>
          <w:tab w:val="left" w:pos="2835"/>
        </w:tabs>
        <w:spacing w:before="1200"/>
        <w:ind w:left="2835" w:hanging="2835"/>
        <w:jc w:val="center"/>
        <w:rPr>
          <w:sz w:val="24"/>
          <w:szCs w:val="24"/>
        </w:rPr>
      </w:pPr>
      <w:bookmarkStart w:id="1" w:name="_Toc374271004"/>
      <w:bookmarkStart w:id="2" w:name="_Ref374243803"/>
      <w:bookmarkStart w:id="3" w:name="_Ref371928515"/>
    </w:p>
    <w:p w14:paraId="6BC9CE27" w14:textId="626F2D82" w:rsidR="0066081A" w:rsidRDefault="00000000">
      <w:pPr>
        <w:pStyle w:val="Heading2"/>
        <w:tabs>
          <w:tab w:val="left" w:pos="2835"/>
        </w:tabs>
        <w:spacing w:before="1200"/>
        <w:ind w:left="2835" w:hanging="2835"/>
        <w:jc w:val="center"/>
        <w:rPr>
          <w:b w:val="0"/>
          <w:bCs/>
          <w:sz w:val="24"/>
          <w:szCs w:val="24"/>
          <w:lang w:val="en-US" w:eastAsia="ko-KR"/>
        </w:rPr>
      </w:pPr>
      <w:r>
        <w:rPr>
          <w:sz w:val="24"/>
          <w:szCs w:val="24"/>
        </w:rPr>
        <w:t>Procurement No:</w:t>
      </w:r>
      <w:bookmarkEnd w:id="1"/>
      <w:bookmarkEnd w:id="2"/>
      <w:bookmarkEnd w:id="3"/>
      <w:r>
        <w:rPr>
          <w:sz w:val="24"/>
          <w:szCs w:val="24"/>
          <w:lang w:val="en-US"/>
        </w:rPr>
        <w:t xml:space="preserve"> </w:t>
      </w:r>
      <w:r w:rsidR="005D6808">
        <w:rPr>
          <w:sz w:val="24"/>
          <w:szCs w:val="24"/>
          <w:lang w:val="en-US"/>
        </w:rPr>
        <w:t>54-G001-26</w:t>
      </w:r>
    </w:p>
    <w:p w14:paraId="37F6B0C5" w14:textId="77777777" w:rsidR="0066081A" w:rsidRDefault="00000000">
      <w:pPr>
        <w:rPr>
          <w:rFonts w:ascii="Calibri" w:hAnsi="Calibri" w:cs="Calibri"/>
          <w:b/>
          <w:lang w:val="en-GB" w:eastAsia="ko-KR"/>
        </w:rPr>
      </w:pPr>
      <w:r>
        <w:rPr>
          <w:rFonts w:ascii="Calibri" w:hAnsi="Calibri" w:cs="Calibri"/>
          <w:b/>
          <w:lang w:val="en-GB" w:eastAsia="ko-KR"/>
        </w:rPr>
        <w:br w:type="page"/>
      </w:r>
    </w:p>
    <w:p w14:paraId="0DE84020" w14:textId="77777777" w:rsidR="0066081A" w:rsidRDefault="00000000">
      <w:pPr>
        <w:pStyle w:val="Heading2"/>
        <w:spacing w:before="600"/>
        <w:jc w:val="center"/>
        <w:rPr>
          <w:rFonts w:cs="Calibri"/>
          <w:sz w:val="28"/>
          <w:szCs w:val="28"/>
          <w:lang w:eastAsia="ko-KR"/>
        </w:rPr>
      </w:pPr>
      <w:bookmarkStart w:id="4" w:name="_Toc374271005"/>
      <w:r>
        <w:rPr>
          <w:rFonts w:cs="Calibri"/>
          <w:sz w:val="28"/>
          <w:szCs w:val="28"/>
          <w:lang w:eastAsia="ko-KR"/>
        </w:rPr>
        <w:lastRenderedPageBreak/>
        <w:t>Evaluation criteria and method</w:t>
      </w:r>
      <w:bookmarkEnd w:id="4"/>
    </w:p>
    <w:p w14:paraId="21F0B4D6" w14:textId="77777777" w:rsidR="0066081A" w:rsidRDefault="00000000">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14:paraId="2A564BD6" w14:textId="77777777" w:rsidR="0066081A" w:rsidRDefault="00000000">
      <w:pPr>
        <w:spacing w:before="120"/>
        <w:jc w:val="both"/>
        <w:rPr>
          <w:rFonts w:ascii="Calibri" w:hAnsi="Calibri" w:cs="Calibri"/>
          <w:lang w:val="en-GB"/>
        </w:rPr>
      </w:pPr>
      <w:bookmarkStart w:id="5" w:name="_Hlk11241772"/>
      <w:r>
        <w:rPr>
          <w:rFonts w:ascii="Calibri" w:hAnsi="Calibri" w:cs="Calibri"/>
          <w:lang w:val="en-GB"/>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6" w:name="_Hlk11241264"/>
      <w:r>
        <w:rPr>
          <w:rFonts w:ascii="Calibri" w:hAnsi="Calibri" w:cs="Calibri"/>
          <w:lang w:val="en-GB"/>
        </w:rPr>
        <w:t>Evaluation</w:t>
      </w:r>
      <w:bookmarkEnd w:id="6"/>
      <w:r>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4BA81F44" w14:textId="77777777" w:rsidR="0066081A" w:rsidRDefault="00000000">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14:paraId="0BC45B55" w14:textId="77777777" w:rsidR="0066081A" w:rsidRDefault="00000000">
      <w:pPr>
        <w:spacing w:before="120"/>
        <w:jc w:val="both"/>
        <w:rPr>
          <w:rFonts w:ascii="Calibri" w:hAnsi="Calibri" w:cs="Calibri"/>
          <w:lang w:val="en-GB"/>
        </w:rPr>
      </w:pPr>
      <w:r>
        <w:rPr>
          <w:rFonts w:ascii="Calibri" w:hAnsi="Calibri" w:cs="Calibri"/>
          <w:lang w:val="en-GB"/>
        </w:rPr>
        <w:t xml:space="preserve">Selection will be based on the following process. The total possible score for the Technical component is maximum 100 points. </w:t>
      </w:r>
      <w:bookmarkStart w:id="7" w:name="Technical"/>
      <w:r>
        <w:rPr>
          <w:rFonts w:ascii="Calibri" w:hAnsi="Calibri" w:cs="Calibri"/>
          <w:lang w:val="en-GB"/>
        </w:rPr>
        <w:t>70 %</w:t>
      </w:r>
      <w:bookmarkEnd w:id="7"/>
      <w:r>
        <w:rPr>
          <w:rFonts w:ascii="Calibri" w:hAnsi="Calibri" w:cs="Calibri"/>
          <w:lang w:val="en-GB"/>
        </w:rPr>
        <w:t xml:space="preserve"> of the score received in the technical evaluation will be added to the obtained financial score, which is maximum </w:t>
      </w:r>
      <w:bookmarkStart w:id="8" w:name="Financial"/>
      <w:r>
        <w:rPr>
          <w:rFonts w:ascii="Calibri" w:hAnsi="Calibri" w:cs="Calibri"/>
          <w:lang w:val="en-GB"/>
        </w:rPr>
        <w:t>30 points</w:t>
      </w:r>
      <w:bookmarkEnd w:id="8"/>
      <w:r>
        <w:rPr>
          <w:rFonts w:ascii="Calibri" w:hAnsi="Calibri" w:cs="Calibri"/>
          <w:lang w:val="en-GB"/>
        </w:rPr>
        <w:t>, and calculated as described below.</w:t>
      </w:r>
    </w:p>
    <w:p w14:paraId="06F08760" w14:textId="77777777" w:rsidR="0066081A" w:rsidRDefault="00000000">
      <w:pPr>
        <w:spacing w:before="120"/>
        <w:jc w:val="both"/>
        <w:rPr>
          <w:rFonts w:ascii="Calibri" w:hAnsi="Calibri" w:cs="Calibri"/>
          <w:i/>
          <w:iCs/>
          <w:lang w:val="en-GB"/>
        </w:rPr>
      </w:pPr>
      <w:r>
        <w:rPr>
          <w:rFonts w:ascii="Calibri" w:hAnsi="Calibri" w:cs="Calibri"/>
          <w:i/>
          <w:iCs/>
          <w:lang w:val="en-GB"/>
        </w:rPr>
        <w:t>&lt;It should be decided in advance whether or not the budget should be disclosed&gt;</w:t>
      </w:r>
    </w:p>
    <w:p w14:paraId="548629E4" w14:textId="77777777" w:rsidR="0066081A" w:rsidRDefault="00000000">
      <w:pPr>
        <w:spacing w:before="120"/>
        <w:jc w:val="both"/>
        <w:rPr>
          <w:rFonts w:ascii="Calibri" w:hAnsi="Calibri" w:cs="Calibri"/>
          <w:lang w:val="en-GB"/>
        </w:rPr>
      </w:pPr>
      <w:r>
        <w:rPr>
          <w:rFonts w:ascii="Calibri" w:hAnsi="Calibri" w:cs="Calibri"/>
          <w:lang w:val="en-GB"/>
        </w:rPr>
        <w:t>The maximum budget available for this Contract is AU$</w:t>
      </w:r>
      <w:r>
        <w:rPr>
          <w:rFonts w:ascii="Calibri" w:hAnsi="Calibri" w:cs="Calibri"/>
        </w:rPr>
        <w:t>1</w:t>
      </w:r>
      <w:r>
        <w:rPr>
          <w:rFonts w:ascii="Calibri" w:hAnsi="Calibri" w:cs="Calibri"/>
          <w:lang w:val="en-GB"/>
        </w:rPr>
        <w:t>,</w:t>
      </w:r>
      <w:r>
        <w:rPr>
          <w:rFonts w:ascii="Calibri" w:hAnsi="Calibri" w:cs="Calibri"/>
        </w:rPr>
        <w:t>500</w:t>
      </w:r>
      <w:r>
        <w:rPr>
          <w:rFonts w:ascii="Calibri" w:hAnsi="Calibri" w:cs="Calibri"/>
          <w:lang w:val="en-GB"/>
        </w:rPr>
        <w:t>,</w:t>
      </w:r>
      <w:r>
        <w:rPr>
          <w:rFonts w:ascii="Calibri" w:hAnsi="Calibri" w:cs="Calibri"/>
        </w:rPr>
        <w:t>000</w:t>
      </w:r>
      <w:r>
        <w:rPr>
          <w:rFonts w:ascii="Calibri" w:hAnsi="Calibri" w:cs="Calibri"/>
          <w:lang w:val="en-GB"/>
        </w:rPr>
        <w:t xml:space="preserve"> inclusive of any VAT or other taxes or costs.</w:t>
      </w:r>
    </w:p>
    <w:p w14:paraId="3A01FCA0" w14:textId="77777777" w:rsidR="0066081A" w:rsidRDefault="00000000">
      <w:pPr>
        <w:spacing w:before="120"/>
        <w:jc w:val="both"/>
        <w:rPr>
          <w:b/>
          <w:i/>
          <w:color w:val="FF0000"/>
          <w:lang w:val="en-GB"/>
        </w:rPr>
      </w:pPr>
      <w:r>
        <w:rPr>
          <w:b/>
          <w:i/>
          <w:color w:val="FF0000"/>
          <w:lang w:val="en-GB"/>
        </w:rPr>
        <w:t>Please, note that we do not recommend this maximum amount as a ‘target’ for your Tender. The evaluation is a result of a combination of technical soundness and cost effectiveness of the Tenders, i.e. the evaluation of the financial component will be added to the evaluation result of the technical component, in accordance with the principles and weights set out in this document.</w:t>
      </w:r>
    </w:p>
    <w:p w14:paraId="79455612" w14:textId="77777777" w:rsidR="0066081A" w:rsidRDefault="00000000">
      <w:pPr>
        <w:spacing w:before="480"/>
        <w:jc w:val="center"/>
        <w:rPr>
          <w:rFonts w:asciiTheme="minorHAnsi" w:hAnsiTheme="minorHAnsi"/>
          <w:color w:val="808080" w:themeColor="background1" w:themeShade="80"/>
          <w:lang w:val="en-GB"/>
        </w:rPr>
      </w:pPr>
      <w:r>
        <w:rPr>
          <w:rFonts w:asciiTheme="minorHAnsi" w:hAnsiTheme="minorHAnsi" w:cs="Calibri"/>
          <w:color w:val="808080" w:themeColor="background1" w:themeShade="80"/>
          <w:lang w:val="en-GB"/>
        </w:rPr>
        <w:t>THE REMAINDER OF THIS PAGE LEFT INTENTIONALLY BLANK</w:t>
      </w:r>
    </w:p>
    <w:bookmarkEnd w:id="5"/>
    <w:p w14:paraId="7403E978" w14:textId="77777777" w:rsidR="0066081A" w:rsidRDefault="00000000">
      <w:pPr>
        <w:rPr>
          <w:rFonts w:ascii="Calibri" w:hAnsi="Calibri" w:cs="Calibri"/>
          <w:b/>
          <w:lang w:val="en-GB"/>
        </w:rPr>
      </w:pPr>
      <w:r>
        <w:rPr>
          <w:rFonts w:cs="Calibri"/>
          <w:lang w:val="en-GB"/>
        </w:rPr>
        <w:br w:type="page"/>
      </w:r>
    </w:p>
    <w:p w14:paraId="5520A764" w14:textId="77777777" w:rsidR="0066081A" w:rsidRDefault="00000000">
      <w:pPr>
        <w:pStyle w:val="Heading3"/>
        <w:jc w:val="both"/>
        <w:rPr>
          <w:rFonts w:cs="Calibri"/>
          <w:sz w:val="24"/>
          <w:lang w:val="en-GB" w:eastAsia="ko-KR"/>
        </w:rPr>
      </w:pPr>
      <w:bookmarkStart w:id="9" w:name="_Toc374271006"/>
      <w:r>
        <w:rPr>
          <w:rFonts w:cs="Calibri"/>
          <w:sz w:val="24"/>
          <w:lang w:val="en-GB"/>
        </w:rPr>
        <w:lastRenderedPageBreak/>
        <w:t>Evaluation of technical components</w:t>
      </w:r>
      <w:bookmarkEnd w:id="9"/>
    </w:p>
    <w:p w14:paraId="60C27879" w14:textId="77777777" w:rsidR="0066081A" w:rsidRDefault="00000000">
      <w:pPr>
        <w:spacing w:after="240"/>
        <w:jc w:val="both"/>
        <w:rPr>
          <w:lang w:val="en-GB"/>
        </w:rPr>
      </w:pPr>
      <w:r>
        <w:rPr>
          <w:rFonts w:ascii="Calibri" w:hAnsi="Calibri" w:cs="Calibri"/>
          <w:lang w:val="en-GB"/>
        </w:rPr>
        <w:t>A Tender will be rejected at this stage if it fails to respond to important aspects of the Specification</w:t>
      </w:r>
      <w:r>
        <w:rPr>
          <w:rFonts w:ascii="Calibri" w:hAnsi="Calibri" w:cs="Calibri"/>
          <w:lang w:val="en-GB" w:eastAsia="ko-KR"/>
        </w:rPr>
        <w:t>. The detailed technical evaluation criteria and possible scores for each are as follows:</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6081A" w14:paraId="23167900" w14:textId="77777777">
        <w:trPr>
          <w:cantSplit/>
          <w:tblHeader/>
        </w:trPr>
        <w:tc>
          <w:tcPr>
            <w:tcW w:w="2430" w:type="dxa"/>
            <w:vAlign w:val="center"/>
          </w:tcPr>
          <w:p w14:paraId="1F94AF4C" w14:textId="77777777" w:rsidR="0066081A" w:rsidRDefault="00000000">
            <w:pPr>
              <w:pStyle w:val="TableContents"/>
              <w:jc w:val="center"/>
              <w:rPr>
                <w:rFonts w:cs="Calibri"/>
                <w:b/>
                <w:sz w:val="22"/>
                <w:szCs w:val="22"/>
              </w:rPr>
            </w:pPr>
            <w:r>
              <w:rPr>
                <w:rFonts w:cs="Calibri"/>
                <w:b/>
                <w:sz w:val="22"/>
                <w:szCs w:val="22"/>
              </w:rPr>
              <w:lastRenderedPageBreak/>
              <w:t>Major Criteria</w:t>
            </w:r>
          </w:p>
        </w:tc>
        <w:tc>
          <w:tcPr>
            <w:tcW w:w="5367" w:type="dxa"/>
            <w:vAlign w:val="center"/>
          </w:tcPr>
          <w:p w14:paraId="2615BB52" w14:textId="77777777" w:rsidR="0066081A" w:rsidRDefault="00000000">
            <w:pPr>
              <w:pStyle w:val="TableContents"/>
              <w:jc w:val="center"/>
              <w:rPr>
                <w:rFonts w:cs="Calibri"/>
                <w:b/>
                <w:sz w:val="22"/>
                <w:szCs w:val="22"/>
              </w:rPr>
            </w:pPr>
            <w:r>
              <w:rPr>
                <w:rFonts w:cs="Calibri"/>
                <w:b/>
                <w:sz w:val="22"/>
                <w:szCs w:val="22"/>
              </w:rPr>
              <w:t>Details &amp; Sub-Criteria</w:t>
            </w:r>
          </w:p>
        </w:tc>
        <w:tc>
          <w:tcPr>
            <w:tcW w:w="1360" w:type="dxa"/>
            <w:vAlign w:val="center"/>
          </w:tcPr>
          <w:p w14:paraId="2AC001EC" w14:textId="77777777" w:rsidR="0066081A" w:rsidRDefault="00000000">
            <w:pPr>
              <w:pStyle w:val="TableContents"/>
              <w:jc w:val="center"/>
              <w:rPr>
                <w:rFonts w:cs="Calibri"/>
                <w:b/>
                <w:sz w:val="22"/>
                <w:szCs w:val="22"/>
              </w:rPr>
            </w:pPr>
            <w:r>
              <w:rPr>
                <w:rFonts w:cs="Calibri"/>
                <w:b/>
                <w:sz w:val="22"/>
                <w:szCs w:val="22"/>
              </w:rPr>
              <w:t>Possible Score</w:t>
            </w:r>
          </w:p>
        </w:tc>
      </w:tr>
      <w:tr w:rsidR="0066081A" w14:paraId="47FDA6A8" w14:textId="77777777">
        <w:trPr>
          <w:cantSplit/>
          <w:tblHeader/>
        </w:trPr>
        <w:tc>
          <w:tcPr>
            <w:tcW w:w="2430" w:type="dxa"/>
            <w:vAlign w:val="center"/>
          </w:tcPr>
          <w:p w14:paraId="302CCCAB" w14:textId="77777777" w:rsidR="0066081A" w:rsidRDefault="00000000">
            <w:pPr>
              <w:rPr>
                <w:rFonts w:asciiTheme="minorHAnsi" w:hAnsiTheme="minorHAnsi"/>
                <w:sz w:val="22"/>
                <w:szCs w:val="22"/>
              </w:rPr>
            </w:pPr>
            <w:r>
              <w:rPr>
                <w:sz w:val="22"/>
                <w:szCs w:val="22"/>
              </w:rPr>
              <w:t>Firm/consortium’s experience and reputation with similar supply of Works</w:t>
            </w:r>
          </w:p>
        </w:tc>
        <w:tc>
          <w:tcPr>
            <w:tcW w:w="5367" w:type="dxa"/>
          </w:tcPr>
          <w:p w14:paraId="41B48387" w14:textId="77777777" w:rsidR="0066081A" w:rsidRDefault="00000000">
            <w:pPr>
              <w:pStyle w:val="TableContents"/>
              <w:numPr>
                <w:ilvl w:val="0"/>
                <w:numId w:val="3"/>
              </w:numPr>
              <w:rPr>
                <w:rFonts w:ascii="Times New Roman" w:hAnsi="Times New Roman"/>
                <w:sz w:val="22"/>
                <w:szCs w:val="22"/>
              </w:rPr>
            </w:pPr>
            <w:r>
              <w:rPr>
                <w:rFonts w:ascii="Times New Roman" w:hAnsi="Times New Roman"/>
                <w:sz w:val="22"/>
                <w:szCs w:val="22"/>
              </w:rPr>
              <w:t>Relevant Project Experience in supplying and installing similar airport baggage handling equipment within the last 5–10 years.</w:t>
            </w:r>
          </w:p>
          <w:p w14:paraId="4526AFDA" w14:textId="77777777" w:rsidR="0066081A" w:rsidRDefault="00000000">
            <w:pPr>
              <w:pStyle w:val="TableContents"/>
              <w:numPr>
                <w:ilvl w:val="0"/>
                <w:numId w:val="3"/>
              </w:numPr>
              <w:rPr>
                <w:rFonts w:ascii="Times New Roman" w:hAnsi="Times New Roman"/>
                <w:sz w:val="22"/>
                <w:szCs w:val="22"/>
              </w:rPr>
            </w:pPr>
            <w:r>
              <w:rPr>
                <w:rFonts w:ascii="Times New Roman" w:hAnsi="Times New Roman"/>
                <w:sz w:val="22"/>
                <w:szCs w:val="22"/>
              </w:rPr>
              <w:t>Number of Successfully Completed Projects</w:t>
            </w:r>
            <w:r>
              <w:rPr>
                <w:rFonts w:ascii="Times New Roman" w:hAnsi="Times New Roman"/>
                <w:sz w:val="22"/>
                <w:szCs w:val="22"/>
                <w:lang w:val="en-US"/>
              </w:rPr>
              <w:t xml:space="preserve"> on </w:t>
            </w:r>
            <w:r>
              <w:rPr>
                <w:rFonts w:ascii="Times New Roman" w:hAnsi="Times New Roman"/>
                <w:sz w:val="22"/>
                <w:szCs w:val="22"/>
              </w:rPr>
              <w:t>similar projects</w:t>
            </w:r>
            <w:r>
              <w:rPr>
                <w:rFonts w:ascii="Times New Roman" w:hAnsi="Times New Roman"/>
                <w:sz w:val="22"/>
                <w:szCs w:val="22"/>
                <w:lang w:val="en-US"/>
              </w:rPr>
              <w:t>.</w:t>
            </w:r>
          </w:p>
          <w:p w14:paraId="783527EB" w14:textId="77777777" w:rsidR="0066081A" w:rsidRDefault="00000000">
            <w:pPr>
              <w:pStyle w:val="TableContents"/>
              <w:numPr>
                <w:ilvl w:val="0"/>
                <w:numId w:val="3"/>
              </w:numPr>
              <w:rPr>
                <w:rFonts w:ascii="Times New Roman" w:hAnsi="Times New Roman"/>
                <w:sz w:val="22"/>
                <w:szCs w:val="22"/>
              </w:rPr>
            </w:pPr>
            <w:r>
              <w:rPr>
                <w:rFonts w:ascii="Times New Roman" w:hAnsi="Times New Roman"/>
                <w:sz w:val="22"/>
                <w:szCs w:val="22"/>
              </w:rPr>
              <w:t>Client References and Performance Record</w:t>
            </w:r>
          </w:p>
          <w:p w14:paraId="2A494787" w14:textId="77777777" w:rsidR="0066081A" w:rsidRDefault="00000000">
            <w:pPr>
              <w:pStyle w:val="TableContents"/>
              <w:numPr>
                <w:ilvl w:val="0"/>
                <w:numId w:val="3"/>
              </w:numPr>
              <w:rPr>
                <w:rFonts w:ascii="Times New Roman" w:hAnsi="Times New Roman"/>
                <w:sz w:val="22"/>
                <w:szCs w:val="22"/>
              </w:rPr>
            </w:pPr>
            <w:r>
              <w:rPr>
                <w:rFonts w:ascii="Times New Roman" w:hAnsi="Times New Roman"/>
                <w:sz w:val="22"/>
                <w:szCs w:val="22"/>
              </w:rPr>
              <w:t>Positive references from previous clients, particularly airport authorities, aviation regulators, or government agencies.</w:t>
            </w:r>
          </w:p>
          <w:p w14:paraId="5849C1E9" w14:textId="77777777" w:rsidR="0066081A" w:rsidRDefault="00000000">
            <w:pPr>
              <w:pStyle w:val="TableContents"/>
              <w:numPr>
                <w:ilvl w:val="0"/>
                <w:numId w:val="3"/>
              </w:numPr>
              <w:rPr>
                <w:rFonts w:ascii="Times New Roman" w:hAnsi="Times New Roman"/>
                <w:sz w:val="22"/>
                <w:szCs w:val="22"/>
              </w:rPr>
            </w:pPr>
            <w:r>
              <w:rPr>
                <w:rFonts w:ascii="Times New Roman" w:hAnsi="Times New Roman"/>
                <w:sz w:val="22"/>
                <w:szCs w:val="22"/>
              </w:rPr>
              <w:t>Technical Expertise and Capability</w:t>
            </w:r>
          </w:p>
          <w:p w14:paraId="20A0E682" w14:textId="77777777" w:rsidR="0066081A" w:rsidRDefault="00000000">
            <w:pPr>
              <w:pStyle w:val="TableContents"/>
              <w:numPr>
                <w:ilvl w:val="0"/>
                <w:numId w:val="3"/>
              </w:numPr>
              <w:rPr>
                <w:rFonts w:ascii="Times New Roman" w:hAnsi="Times New Roman"/>
                <w:sz w:val="22"/>
                <w:szCs w:val="22"/>
              </w:rPr>
            </w:pPr>
            <w:r>
              <w:rPr>
                <w:rFonts w:ascii="Times New Roman" w:hAnsi="Times New Roman"/>
                <w:sz w:val="22"/>
                <w:szCs w:val="22"/>
              </w:rPr>
              <w:t>Reputation and Reliability</w:t>
            </w:r>
          </w:p>
          <w:p w14:paraId="57B7BB0E" w14:textId="77777777" w:rsidR="0066081A" w:rsidRDefault="00000000">
            <w:pPr>
              <w:pStyle w:val="TableContents"/>
              <w:numPr>
                <w:ilvl w:val="0"/>
                <w:numId w:val="3"/>
              </w:numPr>
              <w:rPr>
                <w:rFonts w:ascii="Times New Roman" w:hAnsi="Times New Roman"/>
                <w:sz w:val="22"/>
                <w:szCs w:val="22"/>
              </w:rPr>
            </w:pPr>
            <w:r>
              <w:rPr>
                <w:rFonts w:ascii="Times New Roman" w:hAnsi="Times New Roman"/>
                <w:sz w:val="22"/>
                <w:szCs w:val="22"/>
              </w:rPr>
              <w:t>International Standards Compliance Experience</w:t>
            </w:r>
          </w:p>
          <w:p w14:paraId="3E8FD9E8" w14:textId="77777777" w:rsidR="0066081A" w:rsidRDefault="00000000">
            <w:pPr>
              <w:pStyle w:val="TableContents"/>
              <w:numPr>
                <w:ilvl w:val="0"/>
                <w:numId w:val="3"/>
              </w:numPr>
              <w:rPr>
                <w:rFonts w:ascii="Times New Roman" w:hAnsi="Times New Roman"/>
                <w:sz w:val="22"/>
                <w:szCs w:val="22"/>
              </w:rPr>
            </w:pPr>
            <w:r>
              <w:rPr>
                <w:rFonts w:ascii="Times New Roman" w:hAnsi="Times New Roman"/>
                <w:sz w:val="22"/>
                <w:szCs w:val="22"/>
              </w:rPr>
              <w:t>Demonstrated experience implementing projects that comply with international aviation standards (e.g., ICAO standards or similar).</w:t>
            </w:r>
          </w:p>
        </w:tc>
        <w:tc>
          <w:tcPr>
            <w:tcW w:w="1360" w:type="dxa"/>
            <w:vAlign w:val="center"/>
          </w:tcPr>
          <w:p w14:paraId="2FA7809C" w14:textId="77777777" w:rsidR="0066081A" w:rsidRDefault="00000000">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10%</w:t>
            </w:r>
          </w:p>
        </w:tc>
      </w:tr>
      <w:tr w:rsidR="0066081A" w14:paraId="3B3EA28E" w14:textId="77777777">
        <w:trPr>
          <w:cantSplit/>
          <w:tblHeader/>
        </w:trPr>
        <w:tc>
          <w:tcPr>
            <w:tcW w:w="2430" w:type="dxa"/>
            <w:vAlign w:val="center"/>
          </w:tcPr>
          <w:p w14:paraId="68EF4788" w14:textId="77777777" w:rsidR="0066081A" w:rsidRDefault="00000000">
            <w:pPr>
              <w:rPr>
                <w:sz w:val="22"/>
                <w:szCs w:val="22"/>
              </w:rPr>
            </w:pPr>
            <w:r>
              <w:rPr>
                <w:sz w:val="22"/>
                <w:szCs w:val="22"/>
              </w:rPr>
              <w:t>Delivery time</w:t>
            </w:r>
          </w:p>
        </w:tc>
        <w:tc>
          <w:tcPr>
            <w:tcW w:w="5367" w:type="dxa"/>
          </w:tcPr>
          <w:p w14:paraId="3E9817B4" w14:textId="77777777" w:rsidR="0066081A" w:rsidRDefault="00000000">
            <w:pPr>
              <w:numPr>
                <w:ilvl w:val="0"/>
                <w:numId w:val="4"/>
              </w:numPr>
              <w:adjustRightInd w:val="0"/>
              <w:rPr>
                <w:sz w:val="22"/>
                <w:szCs w:val="22"/>
              </w:rPr>
            </w:pPr>
            <w:r>
              <w:rPr>
                <w:sz w:val="22"/>
                <w:szCs w:val="22"/>
              </w:rPr>
              <w:t>Realistic and efficient project schedule</w:t>
            </w:r>
          </w:p>
          <w:p w14:paraId="6BD2326C" w14:textId="77777777" w:rsidR="0066081A" w:rsidRDefault="00000000">
            <w:pPr>
              <w:numPr>
                <w:ilvl w:val="0"/>
                <w:numId w:val="4"/>
              </w:numPr>
              <w:adjustRightInd w:val="0"/>
              <w:rPr>
                <w:sz w:val="22"/>
                <w:szCs w:val="22"/>
              </w:rPr>
            </w:pPr>
            <w:r>
              <w:rPr>
                <w:sz w:val="22"/>
                <w:szCs w:val="22"/>
              </w:rPr>
              <w:t>Availability of key personnel and resources</w:t>
            </w:r>
          </w:p>
          <w:p w14:paraId="79E557DC" w14:textId="77777777" w:rsidR="0066081A" w:rsidRDefault="00000000">
            <w:pPr>
              <w:numPr>
                <w:ilvl w:val="0"/>
                <w:numId w:val="4"/>
              </w:numPr>
              <w:adjustRightInd w:val="0"/>
              <w:rPr>
                <w:sz w:val="22"/>
                <w:szCs w:val="22"/>
              </w:rPr>
            </w:pPr>
            <w:r>
              <w:rPr>
                <w:sz w:val="22"/>
                <w:szCs w:val="22"/>
              </w:rPr>
              <w:t>Proposed mitigation strategies for project delays</w:t>
            </w:r>
          </w:p>
          <w:p w14:paraId="6E689239" w14:textId="77777777" w:rsidR="0066081A" w:rsidRDefault="00000000">
            <w:pPr>
              <w:numPr>
                <w:ilvl w:val="0"/>
                <w:numId w:val="4"/>
              </w:numPr>
              <w:adjustRightInd w:val="0"/>
              <w:rPr>
                <w:sz w:val="22"/>
                <w:szCs w:val="22"/>
              </w:rPr>
            </w:pPr>
            <w:r>
              <w:rPr>
                <w:sz w:val="22"/>
                <w:szCs w:val="22"/>
              </w:rPr>
              <w:t>Commitment to early or on-time completion</w:t>
            </w:r>
          </w:p>
          <w:p w14:paraId="3CBE85ED" w14:textId="77777777" w:rsidR="0066081A" w:rsidRDefault="00000000">
            <w:pPr>
              <w:numPr>
                <w:ilvl w:val="0"/>
                <w:numId w:val="4"/>
              </w:numPr>
              <w:adjustRightInd w:val="0"/>
              <w:rPr>
                <w:rFonts w:eastAsiaTheme="minorEastAsia"/>
                <w:color w:val="000000"/>
                <w:sz w:val="22"/>
                <w:szCs w:val="22"/>
                <w:lang w:val="en-GB"/>
              </w:rPr>
            </w:pPr>
            <w:r>
              <w:rPr>
                <w:sz w:val="22"/>
                <w:szCs w:val="22"/>
              </w:rPr>
              <w:t>Flexibility in handling project modifications</w:t>
            </w:r>
          </w:p>
        </w:tc>
        <w:tc>
          <w:tcPr>
            <w:tcW w:w="1360" w:type="dxa"/>
            <w:vAlign w:val="center"/>
          </w:tcPr>
          <w:p w14:paraId="74249A41" w14:textId="77777777" w:rsidR="0066081A" w:rsidRDefault="00000000">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20%</w:t>
            </w:r>
          </w:p>
        </w:tc>
      </w:tr>
      <w:tr w:rsidR="0066081A" w14:paraId="533897AD" w14:textId="77777777">
        <w:trPr>
          <w:cantSplit/>
          <w:tblHeader/>
        </w:trPr>
        <w:tc>
          <w:tcPr>
            <w:tcW w:w="2430" w:type="dxa"/>
            <w:vAlign w:val="center"/>
          </w:tcPr>
          <w:p w14:paraId="6CEEEDA3" w14:textId="77777777" w:rsidR="0066081A" w:rsidRDefault="00000000">
            <w:pPr>
              <w:rPr>
                <w:sz w:val="22"/>
                <w:szCs w:val="22"/>
              </w:rPr>
            </w:pPr>
            <w:r>
              <w:rPr>
                <w:sz w:val="22"/>
                <w:szCs w:val="22"/>
              </w:rPr>
              <w:t>Technical Approach &amp; Methodology (Work-plan)</w:t>
            </w:r>
          </w:p>
        </w:tc>
        <w:tc>
          <w:tcPr>
            <w:tcW w:w="5367" w:type="dxa"/>
          </w:tcPr>
          <w:p w14:paraId="251F6E11" w14:textId="77777777" w:rsidR="0066081A" w:rsidRDefault="00000000">
            <w:pPr>
              <w:numPr>
                <w:ilvl w:val="0"/>
                <w:numId w:val="4"/>
              </w:numPr>
              <w:adjustRightInd w:val="0"/>
              <w:rPr>
                <w:sz w:val="22"/>
                <w:szCs w:val="22"/>
              </w:rPr>
            </w:pPr>
            <w:r>
              <w:rPr>
                <w:sz w:val="22"/>
                <w:szCs w:val="22"/>
              </w:rPr>
              <w:t>Understanding of Project Requirements</w:t>
            </w:r>
          </w:p>
          <w:p w14:paraId="41CE52B9" w14:textId="77777777" w:rsidR="0066081A" w:rsidRDefault="00000000">
            <w:pPr>
              <w:numPr>
                <w:ilvl w:val="0"/>
                <w:numId w:val="4"/>
              </w:numPr>
              <w:adjustRightInd w:val="0"/>
              <w:rPr>
                <w:sz w:val="22"/>
                <w:szCs w:val="22"/>
              </w:rPr>
            </w:pPr>
            <w:r>
              <w:rPr>
                <w:sz w:val="22"/>
                <w:szCs w:val="22"/>
              </w:rPr>
              <w:t>Proposed Technical Approach</w:t>
            </w:r>
          </w:p>
          <w:p w14:paraId="2348672A" w14:textId="77777777" w:rsidR="0066081A" w:rsidRDefault="00000000">
            <w:pPr>
              <w:numPr>
                <w:ilvl w:val="0"/>
                <w:numId w:val="4"/>
              </w:numPr>
              <w:adjustRightInd w:val="0"/>
              <w:rPr>
                <w:sz w:val="22"/>
                <w:szCs w:val="22"/>
              </w:rPr>
            </w:pPr>
            <w:r>
              <w:rPr>
                <w:sz w:val="22"/>
                <w:szCs w:val="22"/>
              </w:rPr>
              <w:t>Work Plan and Implementation Strategy</w:t>
            </w:r>
          </w:p>
          <w:p w14:paraId="2BAA7593" w14:textId="77777777" w:rsidR="0066081A" w:rsidRDefault="00000000">
            <w:pPr>
              <w:numPr>
                <w:ilvl w:val="0"/>
                <w:numId w:val="4"/>
              </w:numPr>
              <w:adjustRightInd w:val="0"/>
              <w:rPr>
                <w:sz w:val="22"/>
                <w:szCs w:val="22"/>
              </w:rPr>
            </w:pPr>
            <w:r>
              <w:rPr>
                <w:sz w:val="22"/>
                <w:szCs w:val="22"/>
              </w:rPr>
              <w:t xml:space="preserve"> Project Timeline and Scheduling</w:t>
            </w:r>
          </w:p>
          <w:p w14:paraId="456D4E89" w14:textId="77777777" w:rsidR="0066081A" w:rsidRDefault="00000000">
            <w:pPr>
              <w:numPr>
                <w:ilvl w:val="0"/>
                <w:numId w:val="4"/>
              </w:numPr>
              <w:adjustRightInd w:val="0"/>
              <w:rPr>
                <w:sz w:val="22"/>
                <w:szCs w:val="22"/>
              </w:rPr>
            </w:pPr>
            <w:r>
              <w:rPr>
                <w:sz w:val="22"/>
                <w:szCs w:val="22"/>
              </w:rPr>
              <w:t>Realistic and achievable timeline with clear milestones aligned with the required delivery and installation period.</w:t>
            </w:r>
          </w:p>
          <w:p w14:paraId="0D6AB836" w14:textId="77777777" w:rsidR="0066081A" w:rsidRDefault="00000000">
            <w:pPr>
              <w:numPr>
                <w:ilvl w:val="0"/>
                <w:numId w:val="4"/>
              </w:numPr>
              <w:adjustRightInd w:val="0"/>
              <w:rPr>
                <w:sz w:val="22"/>
                <w:szCs w:val="22"/>
              </w:rPr>
            </w:pPr>
            <w:r>
              <w:rPr>
                <w:sz w:val="22"/>
                <w:szCs w:val="22"/>
              </w:rPr>
              <w:t>Risk Management and Mitigation Measures</w:t>
            </w:r>
          </w:p>
          <w:p w14:paraId="5229AC4F" w14:textId="77777777" w:rsidR="0066081A" w:rsidRDefault="00000000">
            <w:pPr>
              <w:numPr>
                <w:ilvl w:val="0"/>
                <w:numId w:val="4"/>
              </w:numPr>
              <w:adjustRightInd w:val="0"/>
              <w:rPr>
                <w:sz w:val="22"/>
                <w:szCs w:val="22"/>
              </w:rPr>
            </w:pPr>
            <w:r>
              <w:rPr>
                <w:sz w:val="22"/>
                <w:szCs w:val="22"/>
              </w:rPr>
              <w:t>Quality Assurance and Control Measures</w:t>
            </w:r>
          </w:p>
          <w:p w14:paraId="23C4317C" w14:textId="77777777" w:rsidR="0066081A" w:rsidRDefault="00000000">
            <w:pPr>
              <w:numPr>
                <w:ilvl w:val="0"/>
                <w:numId w:val="4"/>
              </w:numPr>
              <w:adjustRightInd w:val="0"/>
              <w:rPr>
                <w:sz w:val="22"/>
                <w:szCs w:val="22"/>
              </w:rPr>
            </w:pPr>
            <w:r>
              <w:rPr>
                <w:sz w:val="22"/>
                <w:szCs w:val="22"/>
              </w:rPr>
              <w:t>Health, Safety, and Environmental (HSE) Approach</w:t>
            </w:r>
          </w:p>
          <w:p w14:paraId="38AB3345" w14:textId="77777777" w:rsidR="0066081A" w:rsidRDefault="00000000">
            <w:pPr>
              <w:numPr>
                <w:ilvl w:val="0"/>
                <w:numId w:val="4"/>
              </w:numPr>
              <w:adjustRightInd w:val="0"/>
              <w:rPr>
                <w:sz w:val="22"/>
                <w:szCs w:val="22"/>
              </w:rPr>
            </w:pPr>
            <w:r>
              <w:rPr>
                <w:sz w:val="22"/>
                <w:szCs w:val="22"/>
              </w:rPr>
              <w:t>Integration with Existing Systems (if applicable)</w:t>
            </w:r>
          </w:p>
        </w:tc>
        <w:tc>
          <w:tcPr>
            <w:tcW w:w="1360" w:type="dxa"/>
            <w:vAlign w:val="center"/>
          </w:tcPr>
          <w:p w14:paraId="1ADAB403" w14:textId="77777777" w:rsidR="0066081A" w:rsidRDefault="00000000">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10%</w:t>
            </w:r>
          </w:p>
        </w:tc>
      </w:tr>
      <w:tr w:rsidR="0066081A" w14:paraId="5C6E583C" w14:textId="77777777">
        <w:trPr>
          <w:cantSplit/>
          <w:tblHeader/>
        </w:trPr>
        <w:tc>
          <w:tcPr>
            <w:tcW w:w="2430" w:type="dxa"/>
            <w:vAlign w:val="center"/>
          </w:tcPr>
          <w:p w14:paraId="3D1FB7B7" w14:textId="77777777" w:rsidR="0066081A" w:rsidRDefault="00000000">
            <w:pPr>
              <w:rPr>
                <w:sz w:val="22"/>
                <w:szCs w:val="22"/>
              </w:rPr>
            </w:pPr>
            <w:r>
              <w:rPr>
                <w:sz w:val="22"/>
                <w:szCs w:val="22"/>
              </w:rPr>
              <w:t>Specification Compliance</w:t>
            </w:r>
          </w:p>
          <w:p w14:paraId="04D7C897" w14:textId="77777777" w:rsidR="0066081A" w:rsidRDefault="00000000">
            <w:pPr>
              <w:rPr>
                <w:sz w:val="22"/>
                <w:szCs w:val="22"/>
              </w:rPr>
            </w:pPr>
            <w:r>
              <w:rPr>
                <w:sz w:val="22"/>
                <w:szCs w:val="22"/>
              </w:rPr>
              <w:t>and Warranty period</w:t>
            </w:r>
          </w:p>
        </w:tc>
        <w:tc>
          <w:tcPr>
            <w:tcW w:w="5367" w:type="dxa"/>
          </w:tcPr>
          <w:p w14:paraId="65370BEA" w14:textId="77777777" w:rsidR="0066081A" w:rsidRDefault="00000000">
            <w:pPr>
              <w:numPr>
                <w:ilvl w:val="0"/>
                <w:numId w:val="4"/>
              </w:numPr>
              <w:adjustRightInd w:val="0"/>
              <w:rPr>
                <w:sz w:val="22"/>
                <w:szCs w:val="22"/>
              </w:rPr>
            </w:pPr>
            <w:r>
              <w:rPr>
                <w:sz w:val="22"/>
                <w:szCs w:val="22"/>
              </w:rPr>
              <w:t>Compliance to the specification</w:t>
            </w:r>
          </w:p>
          <w:p w14:paraId="0BD0FFA8" w14:textId="77777777" w:rsidR="0066081A" w:rsidRDefault="00000000">
            <w:pPr>
              <w:numPr>
                <w:ilvl w:val="0"/>
                <w:numId w:val="4"/>
              </w:numPr>
              <w:adjustRightInd w:val="0"/>
              <w:rPr>
                <w:sz w:val="22"/>
                <w:szCs w:val="22"/>
              </w:rPr>
            </w:pPr>
            <w:r>
              <w:rPr>
                <w:sz w:val="22"/>
                <w:szCs w:val="22"/>
              </w:rPr>
              <w:t>Warranty period to be clearly stated</w:t>
            </w:r>
          </w:p>
          <w:p w14:paraId="6BEC75DE" w14:textId="77777777" w:rsidR="0066081A" w:rsidRDefault="00000000">
            <w:pPr>
              <w:numPr>
                <w:ilvl w:val="0"/>
                <w:numId w:val="4"/>
              </w:numPr>
              <w:adjustRightInd w:val="0"/>
              <w:rPr>
                <w:sz w:val="22"/>
                <w:szCs w:val="22"/>
              </w:rPr>
            </w:pPr>
            <w:r>
              <w:rPr>
                <w:sz w:val="22"/>
                <w:szCs w:val="22"/>
              </w:rPr>
              <w:t>A complete and clear specification of the</w:t>
            </w:r>
          </w:p>
          <w:p w14:paraId="6972BB6F" w14:textId="77777777" w:rsidR="0066081A" w:rsidRDefault="00000000">
            <w:pPr>
              <w:numPr>
                <w:ilvl w:val="0"/>
                <w:numId w:val="4"/>
              </w:numPr>
              <w:adjustRightInd w:val="0"/>
              <w:rPr>
                <w:sz w:val="22"/>
                <w:szCs w:val="22"/>
              </w:rPr>
            </w:pPr>
            <w:r>
              <w:rPr>
                <w:sz w:val="22"/>
                <w:szCs w:val="22"/>
              </w:rPr>
              <w:t>proposed/quoted truck should be provided</w:t>
            </w:r>
          </w:p>
        </w:tc>
        <w:tc>
          <w:tcPr>
            <w:tcW w:w="1360" w:type="dxa"/>
            <w:vAlign w:val="center"/>
          </w:tcPr>
          <w:p w14:paraId="718D7FD7" w14:textId="77777777" w:rsidR="0066081A" w:rsidRDefault="00000000">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30%</w:t>
            </w:r>
          </w:p>
        </w:tc>
      </w:tr>
      <w:tr w:rsidR="0066081A" w14:paraId="6D5FC578" w14:textId="77777777">
        <w:trPr>
          <w:cantSplit/>
          <w:tblHeader/>
        </w:trPr>
        <w:tc>
          <w:tcPr>
            <w:tcW w:w="2430" w:type="dxa"/>
            <w:vAlign w:val="center"/>
          </w:tcPr>
          <w:p w14:paraId="103BDCD4" w14:textId="77777777" w:rsidR="0066081A" w:rsidRDefault="00000000">
            <w:pPr>
              <w:rPr>
                <w:sz w:val="22"/>
                <w:szCs w:val="22"/>
              </w:rPr>
            </w:pPr>
            <w:r>
              <w:rPr>
                <w:sz w:val="22"/>
                <w:szCs w:val="22"/>
              </w:rPr>
              <w:t>Provision of Spare parts</w:t>
            </w:r>
          </w:p>
        </w:tc>
        <w:tc>
          <w:tcPr>
            <w:tcW w:w="5367" w:type="dxa"/>
          </w:tcPr>
          <w:p w14:paraId="63935B20" w14:textId="77777777" w:rsidR="0066081A" w:rsidRDefault="00000000">
            <w:pPr>
              <w:numPr>
                <w:ilvl w:val="0"/>
                <w:numId w:val="4"/>
              </w:numPr>
              <w:adjustRightInd w:val="0"/>
              <w:rPr>
                <w:sz w:val="22"/>
                <w:szCs w:val="22"/>
              </w:rPr>
            </w:pPr>
            <w:r>
              <w:rPr>
                <w:sz w:val="22"/>
                <w:szCs w:val="22"/>
              </w:rPr>
              <w:t>Provision of spare parts to be clearly stated in the Tender</w:t>
            </w:r>
          </w:p>
        </w:tc>
        <w:tc>
          <w:tcPr>
            <w:tcW w:w="1360" w:type="dxa"/>
            <w:vAlign w:val="center"/>
          </w:tcPr>
          <w:p w14:paraId="271BB79D" w14:textId="77777777" w:rsidR="0066081A" w:rsidRDefault="00000000">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20%</w:t>
            </w:r>
          </w:p>
        </w:tc>
      </w:tr>
      <w:tr w:rsidR="0066081A" w14:paraId="54BEA1AE" w14:textId="77777777">
        <w:trPr>
          <w:cantSplit/>
          <w:tblHeader/>
        </w:trPr>
        <w:tc>
          <w:tcPr>
            <w:tcW w:w="2430" w:type="dxa"/>
            <w:vAlign w:val="center"/>
          </w:tcPr>
          <w:p w14:paraId="0E2778B8" w14:textId="77777777" w:rsidR="0066081A" w:rsidRDefault="00000000">
            <w:pPr>
              <w:rPr>
                <w:sz w:val="22"/>
                <w:szCs w:val="22"/>
              </w:rPr>
            </w:pPr>
            <w:r>
              <w:rPr>
                <w:sz w:val="22"/>
                <w:szCs w:val="22"/>
              </w:rPr>
              <w:t>Health, Safety, and Environmental Compliance</w:t>
            </w:r>
          </w:p>
        </w:tc>
        <w:tc>
          <w:tcPr>
            <w:tcW w:w="5367" w:type="dxa"/>
          </w:tcPr>
          <w:p w14:paraId="1B4EE285" w14:textId="77777777" w:rsidR="0066081A" w:rsidRDefault="00000000">
            <w:pPr>
              <w:pStyle w:val="TableContents"/>
              <w:numPr>
                <w:ilvl w:val="0"/>
                <w:numId w:val="5"/>
              </w:numPr>
              <w:rPr>
                <w:rFonts w:ascii="Times New Roman" w:hAnsi="Times New Roman"/>
                <w:sz w:val="22"/>
                <w:szCs w:val="22"/>
              </w:rPr>
            </w:pPr>
            <w:r>
              <w:rPr>
                <w:rFonts w:ascii="Times New Roman" w:hAnsi="Times New Roman"/>
                <w:sz w:val="22"/>
                <w:szCs w:val="22"/>
              </w:rPr>
              <w:t>Occupational health and safety measures for workers and passengers</w:t>
            </w:r>
          </w:p>
          <w:p w14:paraId="3C54BA38" w14:textId="77777777" w:rsidR="0066081A" w:rsidRDefault="00000000">
            <w:pPr>
              <w:pStyle w:val="TableContents"/>
              <w:numPr>
                <w:ilvl w:val="0"/>
                <w:numId w:val="5"/>
              </w:numPr>
              <w:rPr>
                <w:rFonts w:ascii="Times New Roman" w:hAnsi="Times New Roman"/>
                <w:sz w:val="22"/>
                <w:szCs w:val="22"/>
              </w:rPr>
            </w:pPr>
            <w:r>
              <w:rPr>
                <w:rFonts w:ascii="Times New Roman" w:hAnsi="Times New Roman"/>
                <w:sz w:val="22"/>
                <w:szCs w:val="22"/>
              </w:rPr>
              <w:t>Environmental impact mitigation strategies</w:t>
            </w:r>
          </w:p>
          <w:p w14:paraId="1978CF23" w14:textId="77777777" w:rsidR="0066081A" w:rsidRDefault="00000000">
            <w:pPr>
              <w:pStyle w:val="TableContents"/>
              <w:numPr>
                <w:ilvl w:val="0"/>
                <w:numId w:val="5"/>
              </w:numPr>
              <w:rPr>
                <w:rFonts w:ascii="Times New Roman" w:hAnsi="Times New Roman"/>
                <w:sz w:val="22"/>
                <w:szCs w:val="22"/>
              </w:rPr>
            </w:pPr>
            <w:r>
              <w:rPr>
                <w:rFonts w:ascii="Times New Roman" w:hAnsi="Times New Roman"/>
                <w:sz w:val="22"/>
                <w:szCs w:val="22"/>
              </w:rPr>
              <w:t>Compliance with local and international safety regulations</w:t>
            </w:r>
          </w:p>
          <w:p w14:paraId="4AAF2E8E" w14:textId="77777777" w:rsidR="0066081A" w:rsidRDefault="00000000">
            <w:pPr>
              <w:pStyle w:val="TableContents"/>
              <w:numPr>
                <w:ilvl w:val="0"/>
                <w:numId w:val="5"/>
              </w:numPr>
              <w:rPr>
                <w:rFonts w:ascii="Times New Roman" w:hAnsi="Times New Roman"/>
                <w:sz w:val="22"/>
                <w:szCs w:val="22"/>
              </w:rPr>
            </w:pPr>
            <w:r>
              <w:rPr>
                <w:rFonts w:ascii="Times New Roman" w:hAnsi="Times New Roman"/>
                <w:sz w:val="22"/>
                <w:szCs w:val="22"/>
              </w:rPr>
              <w:t>Waste management and sustainability initiatives</w:t>
            </w:r>
          </w:p>
        </w:tc>
        <w:tc>
          <w:tcPr>
            <w:tcW w:w="1360" w:type="dxa"/>
            <w:vAlign w:val="center"/>
          </w:tcPr>
          <w:p w14:paraId="3D99EA4F" w14:textId="77777777" w:rsidR="0066081A" w:rsidRDefault="00000000">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10%</w:t>
            </w:r>
          </w:p>
        </w:tc>
      </w:tr>
      <w:tr w:rsidR="0066081A" w14:paraId="330E0AAD" w14:textId="77777777">
        <w:trPr>
          <w:cantSplit/>
          <w:trHeight w:val="650"/>
          <w:tblHeader/>
        </w:trPr>
        <w:tc>
          <w:tcPr>
            <w:tcW w:w="7797" w:type="dxa"/>
            <w:gridSpan w:val="2"/>
            <w:vAlign w:val="center"/>
          </w:tcPr>
          <w:p w14:paraId="304D66E7" w14:textId="77777777" w:rsidR="0066081A" w:rsidRDefault="00000000">
            <w:pPr>
              <w:pStyle w:val="TableContents"/>
              <w:jc w:val="both"/>
              <w:rPr>
                <w:rFonts w:cs="Calibri"/>
                <w:sz w:val="22"/>
                <w:szCs w:val="22"/>
              </w:rPr>
            </w:pPr>
            <w:r>
              <w:rPr>
                <w:rFonts w:cs="Calibri"/>
                <w:b/>
                <w:sz w:val="22"/>
                <w:szCs w:val="22"/>
              </w:rPr>
              <w:t>Total Possible Technical Score</w:t>
            </w:r>
          </w:p>
        </w:tc>
        <w:tc>
          <w:tcPr>
            <w:tcW w:w="1360" w:type="dxa"/>
            <w:vAlign w:val="center"/>
          </w:tcPr>
          <w:p w14:paraId="24718BD4" w14:textId="77777777" w:rsidR="0066081A" w:rsidRDefault="00000000">
            <w:pPr>
              <w:pStyle w:val="TableContents"/>
              <w:jc w:val="center"/>
              <w:rPr>
                <w:rFonts w:cs="Calibri"/>
                <w:b/>
                <w:sz w:val="22"/>
                <w:szCs w:val="22"/>
              </w:rPr>
            </w:pPr>
            <w:r>
              <w:rPr>
                <w:rFonts w:cs="Calibri"/>
                <w:b/>
                <w:sz w:val="22"/>
                <w:szCs w:val="22"/>
              </w:rPr>
              <w:t>100</w:t>
            </w:r>
          </w:p>
        </w:tc>
      </w:tr>
    </w:tbl>
    <w:p w14:paraId="3CBC4D57" w14:textId="77777777" w:rsidR="0066081A" w:rsidRDefault="00000000">
      <w:pPr>
        <w:spacing w:before="120"/>
        <w:jc w:val="both"/>
        <w:rPr>
          <w:rFonts w:ascii="Calibri" w:hAnsi="Calibri" w:cs="Calibri"/>
          <w:lang w:eastAsia="ko-KR"/>
        </w:rPr>
      </w:pPr>
      <w:bookmarkStart w:id="10" w:name="_Hlk26879176"/>
      <w:r>
        <w:rPr>
          <w:rFonts w:ascii="Calibri" w:hAnsi="Calibri" w:cs="Calibri"/>
          <w:lang w:eastAsia="ko-KR"/>
        </w:rPr>
        <w:t xml:space="preserve"> </w:t>
      </w:r>
    </w:p>
    <w:p w14:paraId="1EEFC8D1" w14:textId="77777777" w:rsidR="0066081A" w:rsidRDefault="0066081A">
      <w:pPr>
        <w:spacing w:before="120"/>
        <w:jc w:val="both"/>
        <w:rPr>
          <w:rFonts w:ascii="Calibri" w:hAnsi="Calibri" w:cs="Calibri"/>
          <w:lang w:eastAsia="ko-KR"/>
        </w:rPr>
      </w:pPr>
    </w:p>
    <w:p w14:paraId="6FF7B4F7" w14:textId="77777777" w:rsidR="0066081A" w:rsidRDefault="00000000">
      <w:pPr>
        <w:spacing w:before="120"/>
        <w:jc w:val="both"/>
        <w:rPr>
          <w:rFonts w:ascii="Calibri" w:hAnsi="Calibri" w:cs="Calibri"/>
          <w:lang w:val="en-GB" w:eastAsia="ko-KR"/>
        </w:rPr>
      </w:pPr>
      <w:r>
        <w:rPr>
          <w:rFonts w:ascii="Calibri" w:hAnsi="Calibri" w:cs="Calibri"/>
          <w:lang w:eastAsia="ko-KR"/>
        </w:rPr>
        <w:lastRenderedPageBreak/>
        <w:t xml:space="preserve">The </w:t>
      </w:r>
      <w:r>
        <w:rPr>
          <w:rFonts w:ascii="Calibri" w:hAnsi="Calibri" w:cs="Calibri"/>
          <w:lang w:val="en-GB" w:eastAsia="ko-KR"/>
        </w:rPr>
        <w:t xml:space="preserve">separate result of the technical evaluation will be the accumulated score obtained for each Tender multiplied with the weight of the technical component, </w:t>
      </w:r>
      <w:r>
        <w:rPr>
          <w:rFonts w:ascii="Calibri" w:hAnsi="Calibri" w:cs="Calibri"/>
          <w:highlight w:val="yellow"/>
          <w:lang w:val="en-GB" w:eastAsia="ko-KR"/>
        </w:rPr>
        <w:fldChar w:fldCharType="begin"/>
      </w:r>
      <w:r>
        <w:rPr>
          <w:rFonts w:ascii="Calibri" w:hAnsi="Calibri" w:cs="Calibri"/>
          <w:highlight w:val="yellow"/>
          <w:lang w:val="en-GB" w:eastAsia="ko-KR"/>
        </w:rPr>
        <w:instrText xml:space="preserve"> REF Technical \h  \* MERGEFORMAT </w:instrText>
      </w:r>
      <w:r>
        <w:rPr>
          <w:rFonts w:ascii="Calibri" w:hAnsi="Calibri" w:cs="Calibri"/>
          <w:highlight w:val="yellow"/>
          <w:lang w:val="en-GB" w:eastAsia="ko-KR"/>
        </w:rPr>
      </w:r>
      <w:r>
        <w:rPr>
          <w:rFonts w:ascii="Calibri" w:hAnsi="Calibri" w:cs="Calibri"/>
          <w:highlight w:val="yellow"/>
          <w:lang w:val="en-GB" w:eastAsia="ko-KR"/>
        </w:rPr>
        <w:fldChar w:fldCharType="separate"/>
      </w:r>
      <w:r>
        <w:rPr>
          <w:rFonts w:ascii="Calibri" w:hAnsi="Calibri" w:cs="Calibri"/>
          <w:highlight w:val="yellow"/>
          <w:lang w:val="en-GB"/>
        </w:rPr>
        <w:t>70 %</w:t>
      </w:r>
      <w:r>
        <w:rPr>
          <w:rFonts w:ascii="Calibri" w:hAnsi="Calibri" w:cs="Calibri"/>
          <w:highlight w:val="yellow"/>
          <w:lang w:val="en-GB" w:eastAsia="ko-KR"/>
        </w:rPr>
        <w:fldChar w:fldCharType="end"/>
      </w:r>
      <w:r>
        <w:rPr>
          <w:rFonts w:ascii="Calibri" w:hAnsi="Calibri" w:cs="Calibri"/>
          <w:lang w:val="en-GB" w:eastAsia="ko-KR"/>
        </w:rPr>
        <w:t>, as defined above:</w:t>
      </w:r>
    </w:p>
    <w:p w14:paraId="0CE66D08" w14:textId="77777777" w:rsidR="0066081A" w:rsidRDefault="00000000">
      <w:pPr>
        <w:spacing w:before="120"/>
        <w:ind w:left="709"/>
        <w:rPr>
          <w:i/>
          <w:iCs/>
          <w:lang w:val="en-GB"/>
        </w:rPr>
      </w:pPr>
      <w:bookmarkStart w:id="11" w:name="_Hlk26878408"/>
      <w:r>
        <w:rPr>
          <w:rFonts w:ascii="Calibri" w:hAnsi="Calibri" w:cs="Calibri"/>
          <w:i/>
          <w:iCs/>
          <w:lang w:val="en-GB" w:eastAsia="ko-KR"/>
        </w:rPr>
        <w:t xml:space="preserve">tv = ts * tw, </w:t>
      </w:r>
      <w:r>
        <w:rPr>
          <w:i/>
          <w:iCs/>
          <w:u w:val="single"/>
          <w:lang w:val="en-GB"/>
        </w:rPr>
        <w:t>where</w:t>
      </w:r>
      <w:r>
        <w:rPr>
          <w:i/>
          <w:iCs/>
          <w:lang w:val="en-GB"/>
        </w:rPr>
        <w:t>:</w:t>
      </w:r>
    </w:p>
    <w:p w14:paraId="7EF184C6" w14:textId="77777777" w:rsidR="0066081A" w:rsidRDefault="00000000">
      <w:pPr>
        <w:pStyle w:val="ListParagraph"/>
        <w:ind w:leftChars="0" w:left="2160"/>
        <w:rPr>
          <w:lang w:val="en-GB"/>
        </w:rPr>
      </w:pPr>
      <w:r>
        <w:rPr>
          <w:lang w:val="en-GB"/>
        </w:rPr>
        <w:t>tv = total technical value</w:t>
      </w:r>
    </w:p>
    <w:p w14:paraId="127F9AF7" w14:textId="77777777" w:rsidR="0066081A" w:rsidRDefault="00000000">
      <w:pPr>
        <w:pStyle w:val="ListParagraph"/>
        <w:ind w:leftChars="0" w:left="2160"/>
        <w:rPr>
          <w:lang w:val="en-GB"/>
        </w:rPr>
      </w:pPr>
      <w:r>
        <w:rPr>
          <w:lang w:val="en-GB"/>
        </w:rPr>
        <w:t>ts = technical result (technical score)</w:t>
      </w:r>
    </w:p>
    <w:p w14:paraId="4468B319" w14:textId="77777777" w:rsidR="0066081A" w:rsidRDefault="00000000">
      <w:pPr>
        <w:pStyle w:val="ListParagraph"/>
        <w:ind w:leftChars="0" w:left="2160"/>
        <w:rPr>
          <w:lang w:val="en-GB"/>
        </w:rPr>
      </w:pPr>
      <w:r>
        <w:rPr>
          <w:lang w:val="en-GB"/>
        </w:rPr>
        <w:t>tw = technical weight in % (technical weight)</w:t>
      </w:r>
    </w:p>
    <w:bookmarkEnd w:id="11"/>
    <w:p w14:paraId="7FAB96DA" w14:textId="77777777" w:rsidR="0066081A" w:rsidRDefault="00000000">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74C7220D" w14:textId="77777777" w:rsidR="0066081A" w:rsidRDefault="00000000">
      <w:pPr>
        <w:pStyle w:val="Heading3"/>
        <w:rPr>
          <w:lang w:val="en-GB"/>
        </w:rPr>
      </w:pPr>
      <w:bookmarkStart w:id="12" w:name="_Toc374271007"/>
      <w:r>
        <w:rPr>
          <w:lang w:val="en-GB"/>
        </w:rPr>
        <w:t>Evaluation of financial components</w:t>
      </w:r>
      <w:bookmarkEnd w:id="12"/>
    </w:p>
    <w:p w14:paraId="16724C7A" w14:textId="77777777" w:rsidR="0066081A" w:rsidRDefault="00000000">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highlight w:val="yellow"/>
          <w:lang w:val="en-GB"/>
        </w:rPr>
        <w:fldChar w:fldCharType="begin"/>
      </w:r>
      <w:r>
        <w:rPr>
          <w:rFonts w:ascii="Calibri" w:hAnsi="Calibri"/>
          <w:highlight w:val="yellow"/>
          <w:lang w:val="en-GB"/>
        </w:rPr>
        <w:instrText xml:space="preserve"> REF Financial \h  \* MERGEFORMAT </w:instrText>
      </w:r>
      <w:r>
        <w:rPr>
          <w:rFonts w:ascii="Calibri" w:hAnsi="Calibri"/>
          <w:highlight w:val="yellow"/>
          <w:lang w:val="en-GB"/>
        </w:rPr>
      </w:r>
      <w:r>
        <w:rPr>
          <w:rFonts w:ascii="Calibri" w:hAnsi="Calibri"/>
          <w:highlight w:val="yellow"/>
          <w:lang w:val="en-GB"/>
        </w:rPr>
        <w:fldChar w:fldCharType="separate"/>
      </w:r>
      <w:r>
        <w:rPr>
          <w:rFonts w:ascii="Calibri" w:hAnsi="Calibri" w:cs="Calibri"/>
          <w:highlight w:val="yellow"/>
          <w:lang w:val="en-GB"/>
        </w:rPr>
        <w:t>30 points</w:t>
      </w:r>
      <w:r>
        <w:rPr>
          <w:rFonts w:ascii="Calibri" w:hAnsi="Calibri"/>
          <w:highlight w:val="yellow"/>
          <w:lang w:val="en-GB"/>
        </w:rPr>
        <w:fldChar w:fldCharType="end"/>
      </w:r>
      <w:r>
        <w:rPr>
          <w:rFonts w:ascii="Calibri" w:hAnsi="Calibri"/>
          <w:lang w:val="en-GB"/>
        </w:rPr>
        <w:t>.</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14:paraId="39ECB29F" w14:textId="77777777" w:rsidR="0066081A" w:rsidRDefault="00000000">
      <w:pPr>
        <w:ind w:firstLine="720"/>
        <w:rPr>
          <w:rFonts w:ascii="Calibri" w:eastAsia="Times New Roman" w:hAnsi="Calibri"/>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eastAsia="Times New Roman" w:hAnsi="Calibri"/>
          <w:i/>
          <w:iCs/>
          <w:kern w:val="2"/>
          <w:sz w:val="20"/>
          <w:szCs w:val="22"/>
          <w:u w:val="single"/>
          <w:lang w:val="en-GB" w:eastAsia="ko-KR"/>
        </w:rPr>
        <w:t>), where:</w:t>
      </w:r>
    </w:p>
    <w:p w14:paraId="488D507B" w14:textId="77777777" w:rsidR="0066081A" w:rsidRDefault="00000000">
      <w:pPr>
        <w:pStyle w:val="ListParagraph"/>
        <w:ind w:leftChars="0" w:left="2160"/>
        <w:rPr>
          <w:lang w:val="en-GB"/>
        </w:rPr>
      </w:pPr>
      <w:r>
        <w:rPr>
          <w:lang w:val="en-GB"/>
        </w:rPr>
        <w:t>p = points for the financial Tender being evaluated</w:t>
      </w:r>
    </w:p>
    <w:p w14:paraId="70556CE7" w14:textId="77777777" w:rsidR="0066081A" w:rsidRDefault="00000000">
      <w:pPr>
        <w:pStyle w:val="ListParagraph"/>
        <w:ind w:leftChars="0" w:left="2160"/>
        <w:rPr>
          <w:lang w:val="en-GB"/>
        </w:rPr>
      </w:pPr>
      <w:r>
        <w:rPr>
          <w:lang w:val="en-GB"/>
        </w:rPr>
        <w:t>y = maximum number of points available for the financial Tender</w:t>
      </w:r>
    </w:p>
    <w:p w14:paraId="183FBB2D" w14:textId="77777777" w:rsidR="0066081A" w:rsidRDefault="00000000">
      <w:pPr>
        <w:pStyle w:val="ListParagraph"/>
        <w:ind w:leftChars="0" w:left="2160"/>
        <w:rPr>
          <w:lang w:val="en-GB"/>
        </w:rPr>
      </w:pPr>
      <w:r>
        <w:rPr>
          <w:lang w:val="en-GB"/>
        </w:rPr>
        <w:t>x = price of the lowest priced Tender</w:t>
      </w:r>
    </w:p>
    <w:p w14:paraId="5FFC7E7E" w14:textId="77777777" w:rsidR="0066081A" w:rsidRDefault="00000000">
      <w:pPr>
        <w:pStyle w:val="ListParagraph"/>
        <w:ind w:leftChars="900" w:left="2160"/>
        <w:rPr>
          <w:lang w:val="en-GB"/>
        </w:rPr>
      </w:pPr>
      <w:r>
        <w:rPr>
          <w:lang w:val="en-GB"/>
        </w:rPr>
        <w:t>z = price of the Tender being evaluated</w:t>
      </w:r>
    </w:p>
    <w:p w14:paraId="748D9D1C" w14:textId="77777777" w:rsidR="0066081A" w:rsidRDefault="00000000">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77D1263E" w14:textId="77777777" w:rsidR="0066081A" w:rsidRDefault="00000000">
      <w:pPr>
        <w:pStyle w:val="Heading3"/>
        <w:rPr>
          <w:lang w:val="en-GB"/>
        </w:rPr>
      </w:pPr>
      <w:bookmarkStart w:id="13" w:name="_Toc374271008"/>
      <w:r>
        <w:rPr>
          <w:lang w:val="en-GB"/>
        </w:rPr>
        <w:t>Evaluation of technical and financial components for total scoring</w:t>
      </w:r>
      <w:bookmarkEnd w:id="13"/>
    </w:p>
    <w:p w14:paraId="2DB50818" w14:textId="77777777" w:rsidR="0066081A" w:rsidRDefault="00000000">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14:paraId="15044608" w14:textId="77777777" w:rsidR="0066081A" w:rsidRDefault="00000000">
      <w:pPr>
        <w:spacing w:before="120"/>
        <w:ind w:left="709"/>
        <w:rPr>
          <w:rFonts w:ascii="Calibri" w:hAnsi="Calibri"/>
          <w:b/>
          <w:lang w:val="en-GB"/>
        </w:rPr>
      </w:pPr>
      <w:bookmarkStart w:id="14" w:name="_Hlk26878494"/>
      <w:r>
        <w:rPr>
          <w:rFonts w:ascii="Calibri" w:hAnsi="Calibri"/>
          <w:b/>
          <w:lang w:val="en-GB"/>
        </w:rPr>
        <w:t>E = (ts * tw) + ((lc / tc) * fw)</w:t>
      </w:r>
      <w:r>
        <w:rPr>
          <w:rFonts w:ascii="Calibri" w:hAnsi="Calibri"/>
          <w:lang w:val="en-GB"/>
        </w:rPr>
        <w:t>, where</w:t>
      </w:r>
    </w:p>
    <w:p w14:paraId="5FFF550E" w14:textId="77777777" w:rsidR="0066081A" w:rsidRDefault="00000000">
      <w:pPr>
        <w:spacing w:before="120"/>
        <w:ind w:left="1418"/>
        <w:rPr>
          <w:rFonts w:ascii="Calibri" w:hAnsi="Calibri"/>
          <w:sz w:val="20"/>
          <w:szCs w:val="20"/>
          <w:lang w:val="en-GB"/>
        </w:rPr>
      </w:pPr>
      <w:r>
        <w:rPr>
          <w:rFonts w:ascii="Calibri" w:hAnsi="Calibri"/>
          <w:sz w:val="20"/>
          <w:szCs w:val="20"/>
          <w:lang w:val="en-GB"/>
        </w:rPr>
        <w:t>E = evaluation result for the relevant Tender</w:t>
      </w:r>
    </w:p>
    <w:p w14:paraId="616EE41C" w14:textId="77777777" w:rsidR="0066081A" w:rsidRDefault="00000000">
      <w:pPr>
        <w:ind w:left="1701"/>
        <w:rPr>
          <w:rFonts w:ascii="Calibri" w:hAnsi="Calibri"/>
          <w:sz w:val="20"/>
          <w:szCs w:val="20"/>
          <w:lang w:val="en-GB"/>
        </w:rPr>
      </w:pPr>
      <w:bookmarkStart w:id="15" w:name="_Hlk26877853"/>
      <w:r>
        <w:rPr>
          <w:rFonts w:ascii="Calibri" w:hAnsi="Calibri"/>
          <w:sz w:val="20"/>
          <w:szCs w:val="20"/>
          <w:lang w:val="en-GB"/>
        </w:rPr>
        <w:t>ts = technical result (technical score)</w:t>
      </w:r>
    </w:p>
    <w:p w14:paraId="7631E0D5" w14:textId="77777777" w:rsidR="0066081A" w:rsidRDefault="00000000">
      <w:pPr>
        <w:ind w:left="1701"/>
        <w:rPr>
          <w:rFonts w:ascii="Calibri" w:hAnsi="Calibri"/>
          <w:sz w:val="20"/>
          <w:szCs w:val="20"/>
          <w:lang w:val="en-GB"/>
        </w:rPr>
      </w:pPr>
      <w:r>
        <w:rPr>
          <w:rFonts w:ascii="Calibri" w:hAnsi="Calibri"/>
          <w:sz w:val="20"/>
          <w:szCs w:val="20"/>
          <w:lang w:val="en-GB"/>
        </w:rPr>
        <w:t>tw = technical weight in % (technical weight)</w:t>
      </w:r>
    </w:p>
    <w:bookmarkEnd w:id="15"/>
    <w:p w14:paraId="728B4356" w14:textId="77777777" w:rsidR="0066081A" w:rsidRDefault="00000000">
      <w:pPr>
        <w:ind w:left="1701"/>
        <w:rPr>
          <w:rFonts w:ascii="Calibri" w:hAnsi="Calibri"/>
          <w:sz w:val="20"/>
          <w:szCs w:val="20"/>
          <w:lang w:val="en-GB"/>
        </w:rPr>
      </w:pPr>
      <w:r>
        <w:rPr>
          <w:rFonts w:ascii="Calibri" w:hAnsi="Calibri"/>
          <w:sz w:val="20"/>
          <w:szCs w:val="20"/>
          <w:lang w:val="en-GB"/>
        </w:rPr>
        <w:t>lc = cost of the lowest financial Tender (lowest cost)</w:t>
      </w:r>
    </w:p>
    <w:p w14:paraId="63A3331A" w14:textId="77777777" w:rsidR="0066081A" w:rsidRDefault="00000000">
      <w:pPr>
        <w:ind w:left="1701"/>
        <w:rPr>
          <w:rFonts w:ascii="Calibri" w:hAnsi="Calibri"/>
          <w:sz w:val="20"/>
          <w:szCs w:val="20"/>
          <w:lang w:val="en-GB"/>
        </w:rPr>
      </w:pPr>
      <w:r>
        <w:rPr>
          <w:rFonts w:ascii="Calibri" w:hAnsi="Calibri"/>
          <w:sz w:val="20"/>
          <w:szCs w:val="20"/>
          <w:lang w:val="en-GB"/>
        </w:rPr>
        <w:t>tc = cost of the Tender being evaluated (tender cost)</w:t>
      </w:r>
      <w:bookmarkEnd w:id="10"/>
      <w:bookmarkEnd w:id="14"/>
    </w:p>
    <w:p w14:paraId="06EC45D7" w14:textId="77777777" w:rsidR="0066081A" w:rsidRDefault="00000000">
      <w:pPr>
        <w:ind w:left="1701"/>
        <w:rPr>
          <w:rFonts w:ascii="Calibri" w:hAnsi="Calibri"/>
          <w:sz w:val="20"/>
          <w:szCs w:val="20"/>
          <w:lang w:val="en-GB"/>
        </w:rPr>
      </w:pPr>
      <w:r>
        <w:rPr>
          <w:rFonts w:ascii="Calibri" w:hAnsi="Calibri"/>
          <w:sz w:val="20"/>
          <w:szCs w:val="20"/>
          <w:lang w:val="en-GB"/>
        </w:rPr>
        <w:t>fw = financial weight</w:t>
      </w:r>
    </w:p>
    <w:p w14:paraId="313FF0F8" w14:textId="77777777" w:rsidR="0066081A" w:rsidRDefault="00000000">
      <w:pPr>
        <w:pStyle w:val="Heading3"/>
        <w:rPr>
          <w:lang w:val="en-GB"/>
        </w:rPr>
      </w:pPr>
      <w:r>
        <w:rPr>
          <w:lang w:val="en-GB"/>
        </w:rPr>
        <w:t>Equal scoring result</w:t>
      </w:r>
    </w:p>
    <w:p w14:paraId="7D0C25D8" w14:textId="77777777" w:rsidR="0066081A" w:rsidRDefault="00000000">
      <w:pPr>
        <w:spacing w:before="120"/>
        <w:jc w:val="both"/>
        <w:rPr>
          <w:rFonts w:ascii="Calibri" w:hAnsi="Calibri" w:cs="Calibri"/>
          <w:lang w:val="en-GB"/>
        </w:rPr>
      </w:pPr>
      <w:r>
        <w:rPr>
          <w:rFonts w:ascii="Calibri" w:hAnsi="Calibri" w:cs="Calibri"/>
          <w:lang w:val="en-GB"/>
        </w:rPr>
        <w:t>In the case of equal results of the total scoring between two or more Tenders, the following shall apply:</w:t>
      </w:r>
    </w:p>
    <w:p w14:paraId="5614C1CF" w14:textId="77777777" w:rsidR="0066081A" w:rsidRDefault="00000000">
      <w:pPr>
        <w:pStyle w:val="ListParagraph"/>
        <w:numPr>
          <w:ilvl w:val="0"/>
          <w:numId w:val="6"/>
        </w:numPr>
        <w:spacing w:before="120"/>
        <w:ind w:leftChars="0"/>
        <w:rPr>
          <w:rFonts w:cs="Calibri"/>
          <w:lang w:val="en-GB"/>
        </w:rPr>
      </w:pPr>
      <w:r>
        <w:rPr>
          <w:lang w:val="en-GB"/>
        </w:rPr>
        <w:t>The highest technical score is awarded the Contract</w:t>
      </w:r>
    </w:p>
    <w:p w14:paraId="755C033A" w14:textId="77777777" w:rsidR="0066081A" w:rsidRDefault="00000000">
      <w:pPr>
        <w:pStyle w:val="ListParagraph"/>
        <w:numPr>
          <w:ilvl w:val="0"/>
          <w:numId w:val="6"/>
        </w:numPr>
        <w:spacing w:before="120"/>
        <w:ind w:leftChars="0"/>
        <w:rPr>
          <w:rFonts w:cs="Calibri"/>
          <w:lang w:val="en-GB"/>
        </w:rPr>
      </w:pPr>
      <w:r>
        <w:rPr>
          <w:lang w:val="en-GB"/>
        </w:rPr>
        <w:t>If still equal, the equally scored Tenderers will be invited to submit a ‘Best and Final Tender’ on the financial component</w:t>
      </w:r>
    </w:p>
    <w:p w14:paraId="65F4D0E3" w14:textId="77777777" w:rsidR="0066081A" w:rsidRDefault="00000000">
      <w:pPr>
        <w:pStyle w:val="ListParagraph"/>
        <w:numPr>
          <w:ilvl w:val="0"/>
          <w:numId w:val="6"/>
        </w:numPr>
        <w:spacing w:before="120"/>
        <w:ind w:leftChars="0"/>
        <w:rPr>
          <w:rFonts w:cs="Calibri"/>
          <w:lang w:val="en-GB"/>
        </w:rPr>
      </w:pPr>
      <w:r>
        <w:rPr>
          <w:lang w:val="en-GB"/>
        </w:rPr>
        <w:t>Should the above, very exceptionally, not result in determining the best value for money, the award of a Contract will be decided by drawing of lots</w:t>
      </w:r>
    </w:p>
    <w:p w14:paraId="7BFE8860" w14:textId="77777777" w:rsidR="0066081A" w:rsidRDefault="0066081A">
      <w:pPr>
        <w:spacing w:before="120"/>
        <w:jc w:val="both"/>
        <w:rPr>
          <w:rFonts w:ascii="Calibri" w:hAnsi="Calibri" w:cs="Calibri"/>
          <w:lang w:val="en-GB"/>
        </w:rPr>
      </w:pPr>
    </w:p>
    <w:sectPr w:rsidR="0066081A">
      <w:headerReference w:type="default" r:id="rId11"/>
      <w:footerReference w:type="default" r:id="rId12"/>
      <w:headerReference w:type="first" r:id="rId13"/>
      <w:type w:val="oddPage"/>
      <w:pgSz w:w="11907" w:h="1683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2DC98" w14:textId="77777777" w:rsidR="002A668B" w:rsidRDefault="002A668B">
      <w:r>
        <w:separator/>
      </w:r>
    </w:p>
  </w:endnote>
  <w:endnote w:type="continuationSeparator" w:id="0">
    <w:p w14:paraId="276F6743" w14:textId="77777777" w:rsidR="002A668B" w:rsidRDefault="002A6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default"/>
    <w:sig w:usb0="00000000" w:usb1="00000000" w:usb2="00000030" w:usb3="00000000" w:csb0="0008009F" w:csb1="00000000"/>
  </w:font>
  <w:font w:name="SimSun">
    <w:altName w:val="宋体"/>
    <w:panose1 w:val="02010600030101010101"/>
    <w:charset w:val="86"/>
    <w:family w:val="auto"/>
    <w:pitch w:val="default"/>
    <w:sig w:usb0="00000203" w:usb1="288F0000" w:usb2="0000000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default"/>
    <w:sig w:usb0="00000000" w:usb1="00000000"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FE36C" w14:textId="77777777" w:rsidR="0066081A" w:rsidRDefault="00000000">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p>
  <w:p w14:paraId="10946195" w14:textId="77777777" w:rsidR="0066081A" w:rsidRDefault="00000000">
    <w:pPr>
      <w:pStyle w:val="Footer"/>
    </w:pPr>
    <w:r>
      <w:fldChar w:fldCharType="begin"/>
    </w:r>
    <w:r>
      <w:instrText xml:space="preserve"> DATE \@ "yyyy-MM-dd" </w:instrText>
    </w:r>
    <w:r>
      <w:fldChar w:fldCharType="separate"/>
    </w:r>
    <w:r w:rsidR="005D6808">
      <w:rPr>
        <w:noProof/>
      </w:rPr>
      <w:t>2026-03-19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12A27" w14:textId="77777777" w:rsidR="002A668B" w:rsidRDefault="002A668B">
      <w:r>
        <w:separator/>
      </w:r>
    </w:p>
  </w:footnote>
  <w:footnote w:type="continuationSeparator" w:id="0">
    <w:p w14:paraId="1874A457" w14:textId="77777777" w:rsidR="002A668B" w:rsidRDefault="002A6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DB7C8" w14:textId="77777777" w:rsidR="0066081A" w:rsidRDefault="0066081A">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5C94B" w14:textId="77777777" w:rsidR="0066081A" w:rsidRDefault="00000000">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Pr>
        <w:noProof/>
      </w:rPr>
      <w:drawing>
        <wp:inline distT="0" distB="0" distL="0" distR="0" wp14:anchorId="72447B3C" wp14:editId="4838A043">
          <wp:extent cx="590550" cy="645795"/>
          <wp:effectExtent l="0" t="0" r="0" b="1905"/>
          <wp:docPr id="2"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p>
  <w:p w14:paraId="62781172" w14:textId="77777777" w:rsidR="0066081A" w:rsidRDefault="006608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1" w15:restartNumberingAfterBreak="0">
    <w:nsid w:val="44D13948"/>
    <w:multiLevelType w:val="multilevel"/>
    <w:tmpl w:val="44D13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C26005C"/>
    <w:multiLevelType w:val="multilevel"/>
    <w:tmpl w:val="4C2600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5BB0B8D"/>
    <w:multiLevelType w:val="multilevel"/>
    <w:tmpl w:val="65BB0B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7A3CBF"/>
    <w:multiLevelType w:val="multilevel"/>
    <w:tmpl w:val="697A3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16cid:durableId="998926440">
    <w:abstractNumId w:val="0"/>
  </w:num>
  <w:num w:numId="2" w16cid:durableId="2003392727">
    <w:abstractNumId w:val="5"/>
  </w:num>
  <w:num w:numId="3" w16cid:durableId="273900980">
    <w:abstractNumId w:val="4"/>
  </w:num>
  <w:num w:numId="4" w16cid:durableId="1310397701">
    <w:abstractNumId w:val="2"/>
  </w:num>
  <w:num w:numId="5" w16cid:durableId="1835948098">
    <w:abstractNumId w:val="3"/>
  </w:num>
  <w:num w:numId="6" w16cid:durableId="9749925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449"/>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68B"/>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758D9"/>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808"/>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8A3"/>
    <w:rsid w:val="00645B8E"/>
    <w:rsid w:val="00646761"/>
    <w:rsid w:val="00650FC6"/>
    <w:rsid w:val="00651942"/>
    <w:rsid w:val="00652871"/>
    <w:rsid w:val="00652CC7"/>
    <w:rsid w:val="0065317C"/>
    <w:rsid w:val="00654162"/>
    <w:rsid w:val="006547A4"/>
    <w:rsid w:val="0066081A"/>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0F55"/>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E7C7BD3"/>
    <w:rsid w:val="137333F8"/>
    <w:rsid w:val="16C85170"/>
    <w:rsid w:val="2EF337A5"/>
    <w:rsid w:val="387F23ED"/>
    <w:rsid w:val="45774A3D"/>
    <w:rsid w:val="764D1AD3"/>
    <w:rsid w:val="785A76BA"/>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0B1D72C"/>
  <w15:docId w15:val="{ABD23F10-EBEE-405A-A9E7-86526BB0C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KI" w:eastAsia="en-K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Malgun Gothic"/>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eastAsia="Malgun Gothic"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eastAsia="Malgun Gothic" w:hAnsi="Calibri"/>
      <w:b/>
      <w:sz w:val="32"/>
      <w:szCs w:val="32"/>
      <w:lang w:val="en-GB" w:eastAsia="en-US"/>
    </w:rPr>
  </w:style>
  <w:style w:type="paragraph" w:styleId="Heading3">
    <w:name w:val="heading 3"/>
    <w:next w:val="Normal"/>
    <w:link w:val="Heading3Char"/>
    <w:qFormat/>
    <w:pPr>
      <w:keepNext/>
      <w:keepLines/>
      <w:spacing w:before="360" w:after="240"/>
      <w:outlineLvl w:val="2"/>
    </w:pPr>
    <w:rPr>
      <w:rFonts w:ascii="Calibri" w:eastAsia="Malgun Gothic" w:hAnsi="Calibri"/>
      <w:b/>
      <w:sz w:val="26"/>
      <w:szCs w:val="24"/>
      <w:lang w:val="en-US" w:eastAsia="en-US"/>
    </w:rPr>
  </w:style>
  <w:style w:type="paragraph" w:styleId="Heading4">
    <w:name w:val="heading 4"/>
    <w:next w:val="Normal"/>
    <w:qFormat/>
    <w:pPr>
      <w:keepNext/>
      <w:keepLines/>
      <w:spacing w:before="240" w:after="120"/>
      <w:outlineLvl w:val="3"/>
    </w:pPr>
    <w:rPr>
      <w:rFonts w:ascii="Calibri" w:eastAsia="Malgun Gothic" w:hAnsi="Calibri"/>
      <w:b/>
      <w:i/>
      <w:sz w:val="24"/>
      <w:szCs w:val="24"/>
      <w:lang w:val="en-US" w:eastAsia="en-US"/>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rFonts w:eastAsia="Malgun Gothic"/>
      <w:sz w:val="24"/>
      <w:szCs w:val="24"/>
      <w:lang w:val="en-US" w:eastAsia="en-US"/>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eastAsia="Malgun Gothic"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eastAsia="Malgun Gothic" w:hAnsi="Calibri"/>
      <w:b/>
      <w:sz w:val="28"/>
      <w:szCs w:val="24"/>
      <w:lang w:val="en-US" w:eastAsia="en-US"/>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rFonts w:eastAsia="Malgun Gothic"/>
      <w:sz w:val="24"/>
      <w:szCs w:val="24"/>
      <w:lang w:val="en-US" w:eastAsia="en-US"/>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Heading3Char">
    <w:name w:val="Heading 3 Char"/>
    <w:basedOn w:val="DefaultParagraphFont"/>
    <w:link w:val="Heading3"/>
    <w:qFormat/>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5</Pages>
  <Words>1014</Words>
  <Characters>5786</Characters>
  <Application>Microsoft Office Word</Application>
  <DocSecurity>0</DocSecurity>
  <Lines>48</Lines>
  <Paragraphs>13</Paragraphs>
  <ScaleCrop>false</ScaleCrop>
  <Company>PricewaterhouseCoopers</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5</cp:revision>
  <cp:lastPrinted>2016-10-18T02:57:00Z</cp:lastPrinted>
  <dcterms:created xsi:type="dcterms:W3CDTF">2020-08-26T13:41:00Z</dcterms:created>
  <dcterms:modified xsi:type="dcterms:W3CDTF">2026-03-18T23:13:00Z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1033-12.1.0.25242</vt:lpwstr>
  </property>
  <property fmtid="{D5CDD505-2E9C-101B-9397-08002B2CF9AE}" pid="4" name="ICV">
    <vt:lpwstr>94E997FD32DD45B69B33B1D63049E146_13</vt:lpwstr>
  </property>
  <property fmtid="{D5CDD505-2E9C-101B-9397-08002B2CF9AE}" pid="5" name="KSOTemplateDocerSaveRecord">
    <vt:lpwstr>eyJoZGlkIjoiNDQ5M2NiMTM3YWZjYzhkZDM4NzUxY2ZlMjQ1MzA5ZDIiLCJ1c2VySWQiOiI4ODEzNzc3NDcxMzMxIn0=</vt:lpwstr>
  </property>
</Properties>
</file>